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5D" w:rsidRDefault="001466C6">
      <w:pPr>
        <w:jc w:val="center"/>
        <w:rPr>
          <w:rFonts w:ascii="宋体-PUA" w:eastAsia="宋体-PUA" w:hAnsi="宋体-PUA" w:cs="宋体-PU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-492760</wp:posOffset>
            </wp:positionH>
            <wp:positionV relativeFrom="paragraph">
              <wp:posOffset>-583565</wp:posOffset>
            </wp:positionV>
            <wp:extent cx="6076950" cy="770255"/>
            <wp:effectExtent l="0" t="0" r="0" b="0"/>
            <wp:wrapSquare wrapText="bothSides"/>
            <wp:docPr id="3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未标题-1"/>
                    <pic:cNvPicPr>
                      <a:picLocks noChangeAspect="1"/>
                    </pic:cNvPicPr>
                  </pic:nvPicPr>
                  <pic:blipFill>
                    <a:blip r:embed="rId8"/>
                    <a:srcRect b="34539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115D" w:rsidRDefault="001466C6">
      <w:pPr>
        <w:spacing w:line="720" w:lineRule="auto"/>
        <w:jc w:val="center"/>
        <w:rPr>
          <w:rFonts w:ascii="仿宋" w:eastAsia="仿宋" w:hAnsi="仿宋" w:cs="仿宋"/>
          <w:b/>
          <w:bCs/>
          <w:color w:val="000000"/>
          <w:sz w:val="28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32"/>
        </w:rPr>
        <w:t>桔子采摘、平江路评弹、盘门古风游园纯玩一日游</w:t>
      </w:r>
    </w:p>
    <w:tbl>
      <w:tblPr>
        <w:tblStyle w:val="a8"/>
        <w:tblW w:w="914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/>
      </w:tblPr>
      <w:tblGrid>
        <w:gridCol w:w="949"/>
        <w:gridCol w:w="8191"/>
      </w:tblGrid>
      <w:tr w:rsidR="0013115D">
        <w:trPr>
          <w:trHeight w:val="473"/>
          <w:jc w:val="center"/>
        </w:trPr>
        <w:tc>
          <w:tcPr>
            <w:tcW w:w="9140" w:type="dxa"/>
            <w:gridSpan w:val="2"/>
            <w:tcBorders>
              <w:tl2br w:val="nil"/>
              <w:tr2bl w:val="nil"/>
            </w:tcBorders>
            <w:shd w:val="clear" w:color="auto" w:fill="1264AD"/>
            <w:vAlign w:val="center"/>
          </w:tcPr>
          <w:p w:rsidR="0013115D" w:rsidRDefault="001466C6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 w:themeColor="background1"/>
                <w:sz w:val="24"/>
                <w:szCs w:val="28"/>
              </w:rPr>
              <w:t>产品信息</w:t>
            </w:r>
          </w:p>
        </w:tc>
      </w:tr>
      <w:tr w:rsidR="0013115D">
        <w:trPr>
          <w:trHeight w:val="551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13115D" w:rsidRDefault="001466C6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包含</w:t>
            </w:r>
          </w:p>
          <w:p w:rsidR="0013115D" w:rsidRDefault="001466C6">
            <w:pPr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内容</w:t>
            </w:r>
          </w:p>
        </w:tc>
        <w:tc>
          <w:tcPr>
            <w:tcW w:w="8191" w:type="dxa"/>
            <w:tcBorders>
              <w:tl2br w:val="nil"/>
              <w:tr2bl w:val="nil"/>
            </w:tcBorders>
            <w:vAlign w:val="center"/>
          </w:tcPr>
          <w:p w:rsidR="0013115D" w:rsidRDefault="001466C6">
            <w:pPr>
              <w:jc w:val="lef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桔子采摘大门票</w:t>
            </w:r>
          </w:p>
          <w:p w:rsidR="0013115D" w:rsidRDefault="001466C6">
            <w:pPr>
              <w:jc w:val="lef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盘门景区大门票</w:t>
            </w:r>
          </w:p>
          <w:p w:rsidR="0013115D" w:rsidRDefault="001466C6">
            <w:pPr>
              <w:jc w:val="lef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平江路叙旧评弹大门票</w:t>
            </w:r>
          </w:p>
        </w:tc>
      </w:tr>
      <w:tr w:rsidR="0013115D">
        <w:trPr>
          <w:trHeight w:val="868"/>
          <w:jc w:val="center"/>
        </w:trPr>
        <w:tc>
          <w:tcPr>
            <w:tcW w:w="949" w:type="dxa"/>
            <w:tcBorders>
              <w:tl2br w:val="nil"/>
              <w:tr2bl w:val="nil"/>
            </w:tcBorders>
            <w:vAlign w:val="center"/>
          </w:tcPr>
          <w:p w:rsidR="0013115D" w:rsidRDefault="001466C6">
            <w:pPr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礼品</w:t>
            </w:r>
          </w:p>
        </w:tc>
        <w:tc>
          <w:tcPr>
            <w:tcW w:w="8191" w:type="dxa"/>
            <w:tcBorders>
              <w:tl2br w:val="nil"/>
              <w:tr2bl w:val="nil"/>
            </w:tcBorders>
            <w:vAlign w:val="center"/>
          </w:tcPr>
          <w:p w:rsidR="0013115D" w:rsidRDefault="001466C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桔园采摘免费畅吃</w:t>
            </w:r>
          </w:p>
          <w:p w:rsidR="0013115D" w:rsidRDefault="001466C6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每人赠送蜜桔5斤</w:t>
            </w:r>
          </w:p>
        </w:tc>
      </w:tr>
    </w:tbl>
    <w:p w:rsidR="0013115D" w:rsidRDefault="0013115D">
      <w:pPr>
        <w:spacing w:line="720" w:lineRule="auto"/>
        <w:rPr>
          <w:rFonts w:ascii="仿宋" w:eastAsia="仿宋" w:hAnsi="仿宋" w:cs="仿宋"/>
          <w:b/>
          <w:bCs/>
          <w:color w:val="000000"/>
          <w:sz w:val="28"/>
          <w:szCs w:val="32"/>
        </w:rPr>
      </w:pPr>
    </w:p>
    <w:p w:rsidR="0013115D" w:rsidRDefault="001466C6">
      <w:pPr>
        <w:numPr>
          <w:ilvl w:val="0"/>
          <w:numId w:val="1"/>
        </w:numPr>
        <w:spacing w:line="540" w:lineRule="exac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行程：</w:t>
      </w:r>
    </w:p>
    <w:tbl>
      <w:tblPr>
        <w:tblStyle w:val="a8"/>
        <w:tblW w:w="914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/>
      </w:tblPr>
      <w:tblGrid>
        <w:gridCol w:w="9140"/>
      </w:tblGrid>
      <w:tr w:rsidR="0013115D">
        <w:trPr>
          <w:trHeight w:val="513"/>
          <w:jc w:val="center"/>
        </w:trPr>
        <w:tc>
          <w:tcPr>
            <w:tcW w:w="9140" w:type="dxa"/>
            <w:tcBorders>
              <w:tl2br w:val="nil"/>
              <w:tr2bl w:val="nil"/>
            </w:tcBorders>
            <w:shd w:val="clear" w:color="auto" w:fill="1264AD"/>
            <w:vAlign w:val="center"/>
          </w:tcPr>
          <w:p w:rsidR="0013115D" w:rsidRDefault="001466C6">
            <w:pPr>
              <w:jc w:val="center"/>
              <w:rPr>
                <w:rFonts w:ascii="仿宋" w:eastAsia="仿宋" w:hAnsi="仿宋" w:cs="仿宋"/>
                <w:b/>
                <w:bCs/>
                <w:color w:val="FFFFFF" w:themeColor="background1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 w:themeColor="background1"/>
                <w:sz w:val="24"/>
                <w:szCs w:val="28"/>
              </w:rPr>
              <w:t>行程安排</w:t>
            </w:r>
          </w:p>
        </w:tc>
      </w:tr>
      <w:tr w:rsidR="0013115D">
        <w:trPr>
          <w:trHeight w:val="2693"/>
          <w:jc w:val="center"/>
        </w:trPr>
        <w:tc>
          <w:tcPr>
            <w:tcW w:w="9140" w:type="dxa"/>
            <w:tcBorders>
              <w:tl2br w:val="nil"/>
              <w:tr2bl w:val="nil"/>
            </w:tcBorders>
            <w:vAlign w:val="center"/>
          </w:tcPr>
          <w:p w:rsidR="0013115D" w:rsidRDefault="001466C6">
            <w:pPr>
              <w:pStyle w:val="a7"/>
              <w:widowControl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仿宋" w:eastAsia="仿宋" w:hAnsi="仿宋" w:cs="仿宋"/>
                <w:sz w:val="21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早上7：</w:t>
            </w:r>
            <w:r w:rsidR="00A94223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工程学院北门集合，</w:t>
            </w:r>
            <w:r w:rsidR="007509B5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出发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前往</w:t>
            </w:r>
            <w:r>
              <w:rPr>
                <w:rFonts w:ascii="仿宋" w:eastAsia="仿宋" w:hAnsi="仿宋" w:cs="仿宋" w:hint="eastAsia"/>
                <w:sz w:val="21"/>
                <w:szCs w:val="18"/>
              </w:rPr>
              <w:t>“人间天堂”苏州，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车赴蜜桔采摘园体验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1"/>
                <w:szCs w:val="21"/>
              </w:rPr>
              <w:t>【蜜桔采摘，入园免费畅吃】（含门票）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，每年9月中旬后，蜜桔陆续上市，漫山遍野的桔林，远看万绿丛中一点红，近看累累硕果树弯腰。蜜桔有很多品种，早红、朱桔、了红、福桔等，目前主要以红桔和温柑为主。皮薄少籽，味鲜甜，肉细腻；游客入园采摘，一瓣瓣品尝，感觉整个深秋弥漫着浓浓的甜意，在金色果海中畅享甜蜜盛宴。</w:t>
            </w:r>
          </w:p>
          <w:p w:rsidR="0013115D" w:rsidRDefault="001466C6">
            <w:pPr>
              <w:pStyle w:val="a7"/>
              <w:widowControl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仿宋" w:eastAsia="仿宋" w:hAnsi="仿宋" w:cs="仿宋"/>
                <w:sz w:val="21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sz w:val="21"/>
                <w:szCs w:val="18"/>
              </w:rPr>
              <w:t>【苏州平江路】</w:t>
            </w:r>
            <w:r>
              <w:rPr>
                <w:rFonts w:ascii="仿宋" w:eastAsia="仿宋" w:hAnsi="仿宋" w:cs="仿宋" w:hint="eastAsia"/>
                <w:sz w:val="21"/>
                <w:szCs w:val="18"/>
              </w:rPr>
              <w:t>苏州平江路在苏州最古老的城市地图宋代《平江图》上就是当时苏州东半城的主干道。从平江路向南，走几步便能听到古琴悠扬，是一琴馆，据称请了吴派传人来讲授琴艺。取道中张家巷，不几步，又是一种江南丝竹之声，喜气热闹。循声向前，是一处评弹博物馆，绕过前厅展设，后院即是书场。赶得巧，花上几块门票，听上一段弹词，看台上人说噱弹唱，也不由得神采飞扬。从书场转出，再往巷子深处走，又见一处昆曲博物馆。崇脊筒瓦，牌匾招摇，挂着大红灯笼，似与一般仿旧的建筑相似，也没什么稀奇，却要走进去才觉得好。庭院里花木承仰有致，石板荒凉，全应和着正中的一个古戏台。由于历史价值高，苏州文管会给老宅挂上了编号147号的"控制保护古建筑"牌。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1"/>
                <w:szCs w:val="18"/>
              </w:rPr>
              <w:t>【叙旧评弹馆】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1"/>
                <w:szCs w:val="21"/>
              </w:rPr>
              <w:t>（含门票）</w:t>
            </w:r>
            <w:r>
              <w:rPr>
                <w:rFonts w:ascii="仿宋" w:eastAsia="仿宋" w:hAnsi="仿宋" w:cs="仿宋" w:hint="eastAsia"/>
                <w:color w:val="FF0000"/>
                <w:sz w:val="21"/>
                <w:szCs w:val="18"/>
                <w:u w:val="single"/>
              </w:rPr>
              <w:t>畅听评弹约40分钟。</w:t>
            </w:r>
            <w:r>
              <w:rPr>
                <w:rFonts w:ascii="仿宋" w:eastAsia="仿宋" w:hAnsi="仿宋" w:cs="仿宋" w:hint="eastAsia"/>
                <w:sz w:val="21"/>
                <w:szCs w:val="18"/>
              </w:rPr>
              <w:t>苏州评弹是苏州评话和苏州弹词的总称，是采用吴语徒口讲说表演的传统曲艺说书戏剧形式。它产生于苏州，并流行于江、浙、沪一带，用苏州方言演唱 。 评弹的历史悠久，清乾隆时期已颇流行。最著名的艺人有王周士，他曾为乾隆皇帝演唱过。嘉庆、道光年间有陈遇乾、毛菖佩、俞秀山、陆瑞廷四大名家。咸丰、同治年间又有马如飞、赵湘舟、王石泉等，之后名家流派纷呈，使苏州评弹艺术历经200余年不衰。</w:t>
            </w:r>
          </w:p>
          <w:p w:rsidR="0013115D" w:rsidRDefault="0013115D">
            <w:pPr>
              <w:pStyle w:val="a7"/>
              <w:widowControl/>
              <w:shd w:val="clear" w:color="auto" w:fill="FFFFFF"/>
              <w:spacing w:before="0" w:beforeAutospacing="0" w:after="150" w:afterAutospacing="0" w:line="240" w:lineRule="atLeast"/>
              <w:rPr>
                <w:rFonts w:ascii="仿宋" w:eastAsia="仿宋" w:hAnsi="仿宋" w:cs="仿宋"/>
                <w:sz w:val="21"/>
                <w:szCs w:val="18"/>
              </w:rPr>
            </w:pPr>
          </w:p>
          <w:p w:rsidR="0013115D" w:rsidRDefault="001466C6">
            <w:pPr>
              <w:pStyle w:val="a7"/>
              <w:widowControl/>
              <w:shd w:val="clear" w:color="auto" w:fill="FFFFFF"/>
              <w:spacing w:before="0" w:beforeAutospacing="0" w:after="150" w:afterAutospacing="0" w:line="240" w:lineRule="atLeast"/>
              <w:ind w:firstLine="420"/>
              <w:rPr>
                <w:rFonts w:ascii="仿宋" w:eastAsia="仿宋" w:hAnsi="仿宋" w:cs="仿宋"/>
                <w:sz w:val="21"/>
                <w:szCs w:val="18"/>
              </w:rPr>
            </w:pPr>
            <w:r>
              <w:rPr>
                <w:rFonts w:ascii="仿宋" w:eastAsia="仿宋" w:hAnsi="仿宋" w:cs="仿宋" w:hint="eastAsia"/>
                <w:sz w:val="21"/>
                <w:szCs w:val="18"/>
              </w:rPr>
              <w:t>下午游览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sz w:val="21"/>
                <w:szCs w:val="18"/>
              </w:rPr>
              <w:t>【盘门】（含门票）</w:t>
            </w:r>
            <w:r>
              <w:rPr>
                <w:rFonts w:ascii="仿宋" w:eastAsia="仿宋" w:hAnsi="仿宋" w:cs="仿宋" w:hint="eastAsia"/>
                <w:sz w:val="21"/>
                <w:szCs w:val="18"/>
              </w:rPr>
              <w:t>，盘门，1963年被列为苏州市文物保护单位，1982年被列为江苏省文物保护单位。2006年05月25日，盘门作为元代古建筑，被国务院批准列入第六批</w:t>
            </w:r>
            <w:hyperlink r:id="rId9" w:tgtFrame="https://baike.so.com/doc/_blank" w:history="1">
              <w:r>
                <w:rPr>
                  <w:rFonts w:ascii="仿宋" w:eastAsia="仿宋" w:hAnsi="仿宋" w:cs="仿宋"/>
                  <w:sz w:val="21"/>
                  <w:szCs w:val="18"/>
                </w:rPr>
                <w:t>全国重点文物保护单位</w:t>
              </w:r>
            </w:hyperlink>
            <w:r>
              <w:rPr>
                <w:rFonts w:ascii="仿宋" w:eastAsia="仿宋" w:hAnsi="仿宋" w:cs="仿宋"/>
                <w:sz w:val="21"/>
                <w:szCs w:val="18"/>
              </w:rPr>
              <w:t>名单。为中国现存唯一的水陆并联城门,是</w:t>
            </w:r>
            <w:hyperlink r:id="rId10" w:tgtFrame="https://baike.so.com/doc/_blank" w:history="1">
              <w:r>
                <w:rPr>
                  <w:rFonts w:ascii="仿宋" w:eastAsia="仿宋" w:hAnsi="仿宋" w:cs="仿宋"/>
                  <w:sz w:val="21"/>
                  <w:szCs w:val="18"/>
                </w:rPr>
                <w:t>苏州古城</w:t>
              </w:r>
            </w:hyperlink>
            <w:r>
              <w:rPr>
                <w:rFonts w:ascii="仿宋" w:eastAsia="仿宋" w:hAnsi="仿宋" w:cs="仿宋"/>
                <w:sz w:val="21"/>
                <w:szCs w:val="18"/>
              </w:rPr>
              <w:t>的标志之一</w:t>
            </w:r>
            <w:r>
              <w:rPr>
                <w:rFonts w:ascii="仿宋" w:eastAsia="仿宋" w:hAnsi="仿宋" w:cs="仿宋" w:hint="eastAsia"/>
                <w:sz w:val="21"/>
                <w:szCs w:val="18"/>
              </w:rPr>
              <w:t>，</w:t>
            </w:r>
            <w:r>
              <w:rPr>
                <w:rFonts w:ascii="仿宋" w:eastAsia="仿宋" w:hAnsi="仿宋" w:cs="仿宋"/>
                <w:sz w:val="21"/>
                <w:szCs w:val="18"/>
              </w:rPr>
              <w:t>有"北看长城之雄,南看盘门之秀"之说</w:t>
            </w:r>
            <w:r>
              <w:rPr>
                <w:rFonts w:ascii="仿宋" w:eastAsia="仿宋" w:hAnsi="仿宋" w:cs="仿宋" w:hint="eastAsia"/>
                <w:sz w:val="21"/>
                <w:szCs w:val="18"/>
              </w:rPr>
              <w:t>。</w:t>
            </w:r>
            <w:r>
              <w:rPr>
                <w:rFonts w:ascii="仿宋" w:eastAsia="仿宋" w:hAnsi="仿宋" w:cs="仿宋"/>
                <w:sz w:val="21"/>
                <w:szCs w:val="18"/>
              </w:rPr>
              <w:t>座落于苏州古城区西南隅的盘门景区，拥有久负盛名的瑞光古塔、绝无</w:t>
            </w:r>
            <w:r>
              <w:rPr>
                <w:rFonts w:ascii="仿宋" w:eastAsia="仿宋" w:hAnsi="仿宋" w:cs="仿宋"/>
                <w:sz w:val="21"/>
                <w:szCs w:val="18"/>
              </w:rPr>
              <w:lastRenderedPageBreak/>
              <w:t>仅有的</w:t>
            </w:r>
            <w:hyperlink r:id="rId11" w:tgtFrame="https://baike.so.com/doc/_blank" w:history="1">
              <w:r>
                <w:rPr>
                  <w:rFonts w:ascii="仿宋" w:eastAsia="仿宋" w:hAnsi="仿宋" w:cs="仿宋"/>
                  <w:sz w:val="21"/>
                  <w:szCs w:val="18"/>
                </w:rPr>
                <w:t>水陆城门</w:t>
              </w:r>
            </w:hyperlink>
            <w:r>
              <w:rPr>
                <w:rFonts w:ascii="仿宋" w:eastAsia="仿宋" w:hAnsi="仿宋" w:cs="仿宋"/>
                <w:sz w:val="21"/>
                <w:szCs w:val="18"/>
              </w:rPr>
              <w:t>、享誉海内外的吴门古桥，分别为国家、省、市级文物保护单位。具有传统</w:t>
            </w:r>
            <w:hyperlink r:id="rId12" w:tgtFrame="https://baike.so.com/doc/_blank" w:history="1">
              <w:r>
                <w:rPr>
                  <w:rFonts w:ascii="仿宋" w:eastAsia="仿宋" w:hAnsi="仿宋" w:cs="仿宋"/>
                  <w:sz w:val="21"/>
                  <w:szCs w:val="18"/>
                </w:rPr>
                <w:t>古典园林</w:t>
              </w:r>
            </w:hyperlink>
            <w:r>
              <w:rPr>
                <w:rFonts w:ascii="仿宋" w:eastAsia="仿宋" w:hAnsi="仿宋" w:cs="仿宋"/>
                <w:sz w:val="21"/>
                <w:szCs w:val="18"/>
              </w:rPr>
              <w:t>"一池三山"格局的中央庭院及古建精品、水乡风情、山池亭榭、湖光山影为一体，显得雄健、舒张、大气，使盘门</w:t>
            </w:r>
            <w:hyperlink r:id="rId13" w:history="1">
              <w:r>
                <w:rPr>
                  <w:rFonts w:ascii="仿宋" w:eastAsia="仿宋" w:hAnsi="仿宋" w:cs="仿宋"/>
                  <w:sz w:val="21"/>
                  <w:szCs w:val="18"/>
                </w:rPr>
                <w:t>盘门</w:t>
              </w:r>
            </w:hyperlink>
            <w:r>
              <w:rPr>
                <w:rFonts w:ascii="仿宋" w:eastAsia="仿宋" w:hAnsi="仿宋" w:cs="仿宋"/>
                <w:sz w:val="21"/>
                <w:szCs w:val="18"/>
              </w:rPr>
              <w:t>景区既不失苏州古朴沧桑的历史感，又具豪放、明快的现代气息，让游客在休闲中时刻感觉到苏州</w:t>
            </w:r>
            <w:hyperlink r:id="rId14" w:tgtFrame="https://baike.so.com/doc/_blank" w:history="1">
              <w:r>
                <w:rPr>
                  <w:rFonts w:ascii="仿宋" w:eastAsia="仿宋" w:hAnsi="仿宋" w:cs="仿宋"/>
                  <w:sz w:val="21"/>
                  <w:szCs w:val="18"/>
                </w:rPr>
                <w:t>吴文化</w:t>
              </w:r>
            </w:hyperlink>
            <w:r>
              <w:rPr>
                <w:rFonts w:ascii="仿宋" w:eastAsia="仿宋" w:hAnsi="仿宋" w:cs="仿宋"/>
                <w:sz w:val="21"/>
                <w:szCs w:val="18"/>
              </w:rPr>
              <w:t>、历史的深厚底蕴。景区还还增加3万平方米景观、绿化，新建一大型生态停车场，景区整体规划更趋合理、完善。届时盘门景区将成为苏州环城绿化带上的一颗璀璨明珠，以苏州"三古一湖"的代表迎接世界的眼光。</w:t>
            </w:r>
          </w:p>
          <w:p w:rsidR="0013115D" w:rsidRDefault="0013115D" w:rsidP="007509B5">
            <w:pPr>
              <w:spacing w:beforeLines="50" w:after="10"/>
              <w:rPr>
                <w:rFonts w:ascii="仿宋" w:eastAsia="仿宋" w:hAnsi="仿宋" w:cs="仿宋"/>
                <w:szCs w:val="21"/>
              </w:rPr>
            </w:pPr>
          </w:p>
          <w:p w:rsidR="0013115D" w:rsidRDefault="001466C6" w:rsidP="007509B5">
            <w:pPr>
              <w:spacing w:beforeLines="50" w:after="10"/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游览结束后，返回温馨的家。</w:t>
            </w:r>
          </w:p>
        </w:tc>
      </w:tr>
    </w:tbl>
    <w:p w:rsidR="0013115D" w:rsidRDefault="001466C6">
      <w:pPr>
        <w:numPr>
          <w:ilvl w:val="0"/>
          <w:numId w:val="1"/>
        </w:numPr>
        <w:spacing w:line="540" w:lineRule="exact"/>
        <w:rPr>
          <w:rFonts w:asciiTheme="minorEastAsia" w:hAnsiTheme="minorEastAsia" w:cs="Arial"/>
          <w:b/>
          <w:sz w:val="24"/>
          <w:szCs w:val="24"/>
        </w:rPr>
      </w:pPr>
      <w:r>
        <w:rPr>
          <w:rFonts w:asciiTheme="minorEastAsia" w:hAnsiTheme="minorEastAsia" w:cs="Arial" w:hint="eastAsia"/>
          <w:b/>
          <w:sz w:val="24"/>
          <w:szCs w:val="24"/>
        </w:rPr>
        <w:lastRenderedPageBreak/>
        <w:t>服务标准：</w:t>
      </w:r>
    </w:p>
    <w:p w:rsidR="0013115D" w:rsidRDefault="001466C6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、交通：空调旅游车</w:t>
      </w:r>
    </w:p>
    <w:p w:rsidR="0013115D" w:rsidRDefault="001466C6">
      <w:pPr>
        <w:spacing w:line="540" w:lineRule="exact"/>
        <w:ind w:left="600" w:hangingChars="250" w:hanging="600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、门票：第一景点大门票</w:t>
      </w:r>
    </w:p>
    <w:p w:rsidR="0013115D" w:rsidRDefault="001466C6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、用餐：午餐餐标50元/人</w:t>
      </w:r>
    </w:p>
    <w:p w:rsidR="0013115D" w:rsidRDefault="001466C6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、导服：全程导游服务</w:t>
      </w:r>
      <w:bookmarkStart w:id="0" w:name="_GoBack"/>
      <w:bookmarkEnd w:id="0"/>
    </w:p>
    <w:p w:rsidR="0013115D" w:rsidRDefault="001466C6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、保险：旅行社责任保险</w:t>
      </w:r>
    </w:p>
    <w:p w:rsidR="0013115D" w:rsidRDefault="001466C6">
      <w:pPr>
        <w:spacing w:line="5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6、其他：旅行社服务费</w:t>
      </w:r>
    </w:p>
    <w:p w:rsidR="0013115D" w:rsidRDefault="0013115D">
      <w:pPr>
        <w:spacing w:line="540" w:lineRule="exact"/>
        <w:ind w:firstLine="480"/>
        <w:rPr>
          <w:rFonts w:asciiTheme="minorEastAsia" w:hAnsiTheme="minorEastAsia"/>
          <w:sz w:val="24"/>
          <w:szCs w:val="24"/>
        </w:rPr>
      </w:pPr>
    </w:p>
    <w:p w:rsidR="0013115D" w:rsidRDefault="001466C6">
      <w:pPr>
        <w:spacing w:line="540" w:lineRule="exact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备注：</w:t>
      </w:r>
    </w:p>
    <w:p w:rsidR="0013115D" w:rsidRDefault="001466C6"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1、此为特价线路，</w:t>
      </w:r>
      <w:r>
        <w:rPr>
          <w:rFonts w:asciiTheme="minorEastAsia" w:hAnsiTheme="minorEastAsia" w:hint="eastAsia"/>
          <w:b/>
          <w:bCs/>
          <w:sz w:val="24"/>
          <w:szCs w:val="24"/>
        </w:rPr>
        <w:t>所有证件及70周岁以上老人</w:t>
      </w:r>
      <w:r>
        <w:rPr>
          <w:rFonts w:asciiTheme="minorEastAsia" w:hAnsiTheme="minorEastAsia" w:hint="eastAsia"/>
          <w:sz w:val="24"/>
          <w:szCs w:val="24"/>
        </w:rPr>
        <w:t>不再重复享受优惠，尽请谅解！！</w:t>
      </w:r>
    </w:p>
    <w:p w:rsidR="0013115D" w:rsidRDefault="001466C6">
      <w:pPr>
        <w:spacing w:line="6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2、赠送项目仅限按成人标准报名，不参加不退费用</w:t>
      </w:r>
      <w:r>
        <w:rPr>
          <w:rFonts w:asciiTheme="minorEastAsia" w:hAnsiTheme="minorEastAsia" w:hint="eastAsia"/>
          <w:sz w:val="24"/>
          <w:szCs w:val="24"/>
        </w:rPr>
        <w:br/>
        <w:t>3、除景点第一大门票外的二次消费（如索道、景交、娱乐项目等），请游客自愿选择</w:t>
      </w:r>
    </w:p>
    <w:p w:rsidR="0013115D" w:rsidRDefault="001466C6">
      <w:pPr>
        <w:spacing w:line="60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三、报价：</w:t>
      </w:r>
      <w:r>
        <w:rPr>
          <w:rFonts w:asciiTheme="minorEastAsia" w:hAnsiTheme="minorEastAsia" w:hint="eastAsia"/>
          <w:b/>
          <w:bCs/>
          <w:sz w:val="24"/>
          <w:szCs w:val="24"/>
        </w:rPr>
        <w:t>成人：220元</w:t>
      </w:r>
      <w:r>
        <w:rPr>
          <w:rFonts w:asciiTheme="minorEastAsia" w:hAnsiTheme="minorEastAsia"/>
          <w:b/>
          <w:bCs/>
          <w:sz w:val="24"/>
          <w:szCs w:val="24"/>
        </w:rPr>
        <w:t>/</w:t>
      </w:r>
      <w:r>
        <w:rPr>
          <w:rFonts w:asciiTheme="minorEastAsia" w:hAnsiTheme="minorEastAsia" w:hint="eastAsia"/>
          <w:b/>
          <w:bCs/>
          <w:sz w:val="24"/>
          <w:szCs w:val="24"/>
        </w:rPr>
        <w:t>人</w:t>
      </w:r>
    </w:p>
    <w:p w:rsidR="0013115D" w:rsidRDefault="001466C6">
      <w:pPr>
        <w:spacing w:line="600" w:lineRule="exact"/>
        <w:ind w:firstLineChars="500" w:firstLine="1205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儿童：180元</w:t>
      </w:r>
      <w:r>
        <w:rPr>
          <w:rFonts w:asciiTheme="minorEastAsia" w:hAnsiTheme="minorEastAsia"/>
          <w:b/>
          <w:bCs/>
          <w:sz w:val="24"/>
          <w:szCs w:val="24"/>
        </w:rPr>
        <w:t>/</w:t>
      </w:r>
      <w:r>
        <w:rPr>
          <w:rFonts w:asciiTheme="minorEastAsia" w:hAnsiTheme="minorEastAsia" w:hint="eastAsia"/>
          <w:b/>
          <w:bCs/>
          <w:sz w:val="24"/>
          <w:szCs w:val="24"/>
        </w:rPr>
        <w:t>人（1.2米以下免门票）</w:t>
      </w:r>
    </w:p>
    <w:p w:rsidR="0013115D" w:rsidRDefault="0013115D">
      <w:pPr>
        <w:tabs>
          <w:tab w:val="left" w:pos="1710"/>
        </w:tabs>
        <w:jc w:val="center"/>
        <w:rPr>
          <w:rFonts w:ascii="微软雅黑" w:eastAsia="微软雅黑" w:hAnsi="微软雅黑"/>
          <w:b/>
          <w:color w:val="943734"/>
        </w:rPr>
      </w:pPr>
    </w:p>
    <w:sectPr w:rsidR="0013115D" w:rsidSect="0013115D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36" w:rsidRDefault="006E0C36" w:rsidP="0013115D">
      <w:r>
        <w:separator/>
      </w:r>
    </w:p>
  </w:endnote>
  <w:endnote w:type="continuationSeparator" w:id="1">
    <w:p w:rsidR="006E0C36" w:rsidRDefault="006E0C36" w:rsidP="00131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15D" w:rsidRDefault="00D517C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 filled="f" stroked="f">
          <v:textbox style="mso-fit-shape-to-text:t" inset="0,0,0,0">
            <w:txbxContent>
              <w:p w:rsidR="0013115D" w:rsidRDefault="001466C6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D517CA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D517CA">
                  <w:rPr>
                    <w:rFonts w:hint="eastAsia"/>
                    <w:sz w:val="18"/>
                  </w:rPr>
                  <w:fldChar w:fldCharType="separate"/>
                </w:r>
                <w:r w:rsidR="007509B5" w:rsidRPr="007509B5">
                  <w:rPr>
                    <w:noProof/>
                  </w:rPr>
                  <w:t>1</w:t>
                </w:r>
                <w:r w:rsidR="00D517CA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7509B5" w:rsidRPr="007509B5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36" w:rsidRDefault="006E0C36" w:rsidP="0013115D">
      <w:r>
        <w:separator/>
      </w:r>
    </w:p>
  </w:footnote>
  <w:footnote w:type="continuationSeparator" w:id="1">
    <w:p w:rsidR="006E0C36" w:rsidRDefault="006E0C36" w:rsidP="00131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B09"/>
    <w:multiLevelType w:val="multilevel"/>
    <w:tmpl w:val="11AD5B0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AwN2U2ZmNiMTFkMWNmMWZmMDhkYTBhNGYxZjkwMWIifQ=="/>
  </w:docVars>
  <w:rsids>
    <w:rsidRoot w:val="27A04C5A"/>
    <w:rsid w:val="0013115D"/>
    <w:rsid w:val="001466C6"/>
    <w:rsid w:val="002820B0"/>
    <w:rsid w:val="002B0106"/>
    <w:rsid w:val="00301751"/>
    <w:rsid w:val="00630707"/>
    <w:rsid w:val="006A1C07"/>
    <w:rsid w:val="006A7A7A"/>
    <w:rsid w:val="006E0C36"/>
    <w:rsid w:val="007509B5"/>
    <w:rsid w:val="00A94223"/>
    <w:rsid w:val="00D47397"/>
    <w:rsid w:val="00D517CA"/>
    <w:rsid w:val="00DA18B9"/>
    <w:rsid w:val="00E07999"/>
    <w:rsid w:val="00F555C3"/>
    <w:rsid w:val="04B844FD"/>
    <w:rsid w:val="08607DF9"/>
    <w:rsid w:val="10DE6C73"/>
    <w:rsid w:val="13CC0310"/>
    <w:rsid w:val="147C10FD"/>
    <w:rsid w:val="152C139B"/>
    <w:rsid w:val="156D4E90"/>
    <w:rsid w:val="1B8228F3"/>
    <w:rsid w:val="1C2A5889"/>
    <w:rsid w:val="1D4209B0"/>
    <w:rsid w:val="1DDB508D"/>
    <w:rsid w:val="1E7F42A8"/>
    <w:rsid w:val="20622246"/>
    <w:rsid w:val="20F825F7"/>
    <w:rsid w:val="24F61A04"/>
    <w:rsid w:val="25C91C6F"/>
    <w:rsid w:val="2666486A"/>
    <w:rsid w:val="27A04C5A"/>
    <w:rsid w:val="291E294D"/>
    <w:rsid w:val="2A4D10C0"/>
    <w:rsid w:val="33A13606"/>
    <w:rsid w:val="355F614C"/>
    <w:rsid w:val="36A52BEA"/>
    <w:rsid w:val="37AF7C8B"/>
    <w:rsid w:val="3BB15227"/>
    <w:rsid w:val="3C1C6B44"/>
    <w:rsid w:val="4C010639"/>
    <w:rsid w:val="4E167177"/>
    <w:rsid w:val="54126FEF"/>
    <w:rsid w:val="552C79A0"/>
    <w:rsid w:val="565D3B8A"/>
    <w:rsid w:val="603A1D72"/>
    <w:rsid w:val="60575AEE"/>
    <w:rsid w:val="61B975BD"/>
    <w:rsid w:val="631A6BFB"/>
    <w:rsid w:val="633B34A5"/>
    <w:rsid w:val="6D9E4D5C"/>
    <w:rsid w:val="6ED22F0F"/>
    <w:rsid w:val="72770019"/>
    <w:rsid w:val="72BB3CBA"/>
    <w:rsid w:val="7B7A3121"/>
    <w:rsid w:val="7B9B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Body Tex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5D"/>
    <w:pPr>
      <w:widowControl w:val="0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13115D"/>
    <w:rPr>
      <w:szCs w:val="24"/>
    </w:rPr>
  </w:style>
  <w:style w:type="paragraph" w:styleId="a4">
    <w:name w:val="Balloon Text"/>
    <w:basedOn w:val="a"/>
    <w:link w:val="Char"/>
    <w:qFormat/>
    <w:rsid w:val="0013115D"/>
    <w:rPr>
      <w:rFonts w:ascii="宋体" w:eastAsia="宋体"/>
      <w:sz w:val="18"/>
      <w:szCs w:val="18"/>
    </w:rPr>
  </w:style>
  <w:style w:type="paragraph" w:styleId="a5">
    <w:name w:val="footer"/>
    <w:basedOn w:val="a"/>
    <w:qFormat/>
    <w:rsid w:val="001311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311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rsid w:val="0013115D"/>
    <w:pPr>
      <w:spacing w:after="120" w:line="480" w:lineRule="auto"/>
    </w:pPr>
  </w:style>
  <w:style w:type="paragraph" w:styleId="a7">
    <w:name w:val="Normal (Web)"/>
    <w:basedOn w:val="a"/>
    <w:qFormat/>
    <w:rsid w:val="0013115D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1311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3115D"/>
    <w:rPr>
      <w:b/>
      <w:bCs/>
    </w:rPr>
  </w:style>
  <w:style w:type="character" w:styleId="aa">
    <w:name w:val="Hyperlink"/>
    <w:basedOn w:val="a0"/>
    <w:qFormat/>
    <w:rsid w:val="0013115D"/>
    <w:rPr>
      <w:color w:val="0000FF"/>
      <w:u w:val="single"/>
    </w:rPr>
  </w:style>
  <w:style w:type="paragraph" w:customStyle="1" w:styleId="p0">
    <w:name w:val="p0"/>
    <w:basedOn w:val="a"/>
    <w:qFormat/>
    <w:rsid w:val="0013115D"/>
    <w:pPr>
      <w:widowControl/>
    </w:pPr>
    <w:rPr>
      <w:kern w:val="0"/>
      <w:szCs w:val="21"/>
    </w:rPr>
  </w:style>
  <w:style w:type="paragraph" w:customStyle="1" w:styleId="1">
    <w:name w:val="列出段落1"/>
    <w:basedOn w:val="a"/>
    <w:qFormat/>
    <w:rsid w:val="0013115D"/>
    <w:pPr>
      <w:ind w:firstLineChars="200" w:firstLine="420"/>
    </w:pPr>
  </w:style>
  <w:style w:type="character" w:customStyle="1" w:styleId="bjh-a-hide">
    <w:name w:val="bjh-a-hide"/>
    <w:basedOn w:val="a0"/>
    <w:qFormat/>
    <w:rsid w:val="0013115D"/>
  </w:style>
  <w:style w:type="character" w:customStyle="1" w:styleId="Char">
    <w:name w:val="批注框文本 Char"/>
    <w:basedOn w:val="a0"/>
    <w:link w:val="a4"/>
    <w:qFormat/>
    <w:rsid w:val="0013115D"/>
    <w:rPr>
      <w:rFonts w:ascii="宋体"/>
      <w:kern w:val="2"/>
      <w:sz w:val="18"/>
      <w:szCs w:val="18"/>
    </w:rPr>
  </w:style>
  <w:style w:type="paragraph" w:customStyle="1" w:styleId="Style3">
    <w:name w:val="_Style 3"/>
    <w:basedOn w:val="a"/>
    <w:qFormat/>
    <w:rsid w:val="0013115D"/>
    <w:rPr>
      <w:rFonts w:eastAsia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1.ssl.qhmsg.com/t01e3902233c659a88b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ike.so.com/doc/6559524-6773278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so.com/doc/9777516-1012420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ike.so.com/doc/5832072-60448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so.com/doc/6665452-6879281.html" TargetMode="External"/><Relationship Id="rId14" Type="http://schemas.openxmlformats.org/officeDocument/2006/relationships/hyperlink" Target="https://baike.so.com/doc/6376105-658975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</cp:lastModifiedBy>
  <cp:revision>6</cp:revision>
  <cp:lastPrinted>2023-10-10T02:27:00Z</cp:lastPrinted>
  <dcterms:created xsi:type="dcterms:W3CDTF">2023-10-10T02:03:00Z</dcterms:created>
  <dcterms:modified xsi:type="dcterms:W3CDTF">2023-10-10T02:49:00Z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CC130C49651C44B9ADA472094CA07197_13</vt:lpwstr>
  </property>
</Properties>
</file>